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E44F0">
      <w:pPr>
        <w:pStyle w:val="a3"/>
        <w:jc w:val="center"/>
      </w:pPr>
      <w:r>
        <w:rPr>
          <w:noProof/>
        </w:rPr>
        <w:drawing>
          <wp:inline distT="0" distB="0" distL="0" distR="0">
            <wp:extent cx="666750" cy="914400"/>
            <wp:effectExtent l="19050" t="0" r="0" b="0"/>
            <wp:docPr id="1" name="Рисунок 1" descr="d:\profiles\s.moskvin\Application Data\Liga70\Client\Session\TSIG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files\s.moskvin\Application Data\Liga70\Client\Session\TSIGN.GIF"/>
                    <pic:cNvPicPr>
                      <a:picLocks noChangeAspect="1" noChangeArrowheads="1"/>
                    </pic:cNvPicPr>
                  </pic:nvPicPr>
                  <pic:blipFill>
                    <a:blip r:link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E44F0">
      <w:pPr>
        <w:pStyle w:val="a3"/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МІНІСТЕРСТВО ЮСТИЦІЇ УКРАЇНИ</w:t>
      </w:r>
    </w:p>
    <w:p w:rsidR="00000000" w:rsidRDefault="000E44F0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ЛИСТ</w:t>
      </w:r>
    </w:p>
    <w:p w:rsidR="00000000" w:rsidRDefault="000E44F0">
      <w:pPr>
        <w:pStyle w:val="a3"/>
        <w:jc w:val="center"/>
      </w:pPr>
      <w:r>
        <w:rPr>
          <w:b/>
          <w:bCs/>
        </w:rPr>
        <w:t>від 10.10.2014 р. N 513-0-2-14/8.2</w:t>
      </w:r>
    </w:p>
    <w:p w:rsidR="00000000" w:rsidRDefault="000E44F0">
      <w:pPr>
        <w:pStyle w:val="a3"/>
        <w:jc w:val="center"/>
      </w:pPr>
      <w:r>
        <w:rPr>
          <w:b/>
          <w:bCs/>
        </w:rPr>
        <w:t>(Витяг)</w:t>
      </w:r>
    </w:p>
    <w:p w:rsidR="00000000" w:rsidRDefault="000E44F0">
      <w:pPr>
        <w:pStyle w:val="a3"/>
        <w:jc w:val="both"/>
      </w:pPr>
      <w:r>
        <w:t xml:space="preserve">Відповідно до звернення &lt;...&gt; Міністерством юстиції розглянуто лист щодо незастосування органами державної фіскальної служби положень </w:t>
      </w:r>
      <w:r>
        <w:rPr>
          <w:color w:val="0000FF"/>
        </w:rPr>
        <w:t>пп. 4.1.4 п. 4.1 ст. 4</w:t>
      </w:r>
      <w:r>
        <w:t xml:space="preserve"> та </w:t>
      </w:r>
      <w:r>
        <w:rPr>
          <w:color w:val="0000FF"/>
        </w:rPr>
        <w:t>п. 56.21 ст. 56 Податкового кодексу України</w:t>
      </w:r>
      <w:r>
        <w:t xml:space="preserve"> (далі - Кодекс) і в межах компетенції повідомляється таке.</w:t>
      </w:r>
    </w:p>
    <w:p w:rsidR="00000000" w:rsidRDefault="000E44F0">
      <w:pPr>
        <w:pStyle w:val="a3"/>
        <w:jc w:val="both"/>
      </w:pPr>
      <w:r>
        <w:t>&lt;...&gt;</w:t>
      </w:r>
    </w:p>
    <w:p w:rsidR="00000000" w:rsidRDefault="000E44F0">
      <w:pPr>
        <w:pStyle w:val="a3"/>
        <w:jc w:val="both"/>
      </w:pPr>
      <w:r>
        <w:rPr>
          <w:b/>
          <w:bCs/>
          <w:i/>
          <w:iCs/>
        </w:rPr>
        <w:t xml:space="preserve">Податкове законодавство України ґрунтується на принципі презумпції правомірності рішень платника податку </w:t>
      </w:r>
      <w:r>
        <w:t>в разі, якщо нор</w:t>
      </w:r>
      <w:r>
        <w:t>ма закону чи іншого нормативно-правового акта, виданого на підставі закону, або якщо норми різних законів чи різних нормативно-правових актів припускають неоднозначне (множинне) трактування прав та обов'язків платників податків або контролюючих органів, вн</w:t>
      </w:r>
      <w:r>
        <w:t>аслідок чого є можливість прийняти рішення на користь як платника податків, так і контролюючого органу (</w:t>
      </w:r>
      <w:r>
        <w:rPr>
          <w:color w:val="0000FF"/>
        </w:rPr>
        <w:t>пп. 4.1.4 п. 4.1 ст. 4 Кодексу</w:t>
      </w:r>
      <w:r>
        <w:t>).</w:t>
      </w:r>
    </w:p>
    <w:p w:rsidR="00000000" w:rsidRDefault="000E44F0">
      <w:pPr>
        <w:pStyle w:val="a3"/>
        <w:jc w:val="both"/>
      </w:pPr>
      <w:r>
        <w:t xml:space="preserve">Відповідно до </w:t>
      </w:r>
      <w:r>
        <w:rPr>
          <w:color w:val="0000FF"/>
        </w:rPr>
        <w:t>пп. 17.1.7 п. 17.1 ст. 17 Кодексу</w:t>
      </w:r>
      <w:r>
        <w:t xml:space="preserve"> платник податків має право оскаржувати в порядку, встановленому цим Код</w:t>
      </w:r>
      <w:r>
        <w:t>ексом, рішення, дії (бездіяльність) контролюючих органів (посадових осіб), надані контролюючими органами податкові консультації.</w:t>
      </w:r>
    </w:p>
    <w:p w:rsidR="00000000" w:rsidRDefault="000E44F0">
      <w:pPr>
        <w:pStyle w:val="a3"/>
        <w:jc w:val="both"/>
      </w:pPr>
      <w:r>
        <w:rPr>
          <w:color w:val="0000FF"/>
        </w:rPr>
        <w:t>Статтею 56 Кодексу</w:t>
      </w:r>
      <w:r>
        <w:t xml:space="preserve"> врегульовано порядок оскарження рішень контролюючих органів.</w:t>
      </w:r>
    </w:p>
    <w:p w:rsidR="00000000" w:rsidRDefault="000E44F0">
      <w:pPr>
        <w:pStyle w:val="a3"/>
        <w:jc w:val="both"/>
      </w:pPr>
      <w:r>
        <w:t xml:space="preserve">Згідно з </w:t>
      </w:r>
      <w:r>
        <w:rPr>
          <w:color w:val="0000FF"/>
        </w:rPr>
        <w:t>п. 56.1</w:t>
      </w:r>
      <w:r>
        <w:t xml:space="preserve">, </w:t>
      </w:r>
      <w:r>
        <w:rPr>
          <w:color w:val="0000FF"/>
        </w:rPr>
        <w:t>56.4</w:t>
      </w:r>
      <w:r>
        <w:t xml:space="preserve">, </w:t>
      </w:r>
      <w:r>
        <w:rPr>
          <w:color w:val="0000FF"/>
        </w:rPr>
        <w:t>56.21 ст. 56 Кодексу</w:t>
      </w:r>
      <w:r>
        <w:t xml:space="preserve"> рі</w:t>
      </w:r>
      <w:r>
        <w:t>шення, прийняті контролюючим органом, можуть бути оскаржені в адміністративному або судовому порядку.</w:t>
      </w:r>
    </w:p>
    <w:p w:rsidR="00000000" w:rsidRDefault="000E44F0">
      <w:pPr>
        <w:pStyle w:val="a3"/>
        <w:jc w:val="both"/>
      </w:pPr>
      <w:r>
        <w:rPr>
          <w:b/>
          <w:bCs/>
          <w:i/>
          <w:iCs/>
        </w:rPr>
        <w:t>Під час процедури адміністративного оскарження обов'язок доведення того, що будь-яке нарахування, здійснене контролюючим органом у випадках, визначених ци</w:t>
      </w:r>
      <w:r>
        <w:rPr>
          <w:b/>
          <w:bCs/>
          <w:i/>
          <w:iCs/>
        </w:rPr>
        <w:t>м Кодексом, або будь-яке інше рішення контролюючого органу є правомірним, покладається на контролюючий орган.</w:t>
      </w:r>
    </w:p>
    <w:p w:rsidR="00000000" w:rsidRDefault="000E44F0">
      <w:pPr>
        <w:pStyle w:val="a3"/>
        <w:jc w:val="both"/>
      </w:pPr>
      <w:r>
        <w:t>Обов'язок доведення правомірності нарахування або прийняття будь-якого іншого рішення контролюючим органом у судовому оскарженні встановлюється пр</w:t>
      </w:r>
      <w:r>
        <w:t>оцесуальним законом.</w:t>
      </w:r>
    </w:p>
    <w:p w:rsidR="00000000" w:rsidRDefault="000E44F0">
      <w:pPr>
        <w:pStyle w:val="a3"/>
        <w:jc w:val="both"/>
      </w:pPr>
      <w:r>
        <w:rPr>
          <w:b/>
          <w:bCs/>
          <w:i/>
          <w:iCs/>
        </w:rPr>
        <w:t xml:space="preserve">У разі коли норма цього </w:t>
      </w:r>
      <w:r>
        <w:rPr>
          <w:b/>
          <w:bCs/>
          <w:i/>
          <w:iCs/>
          <w:color w:val="0000FF"/>
        </w:rPr>
        <w:t>Кодексу</w:t>
      </w:r>
      <w:r>
        <w:rPr>
          <w:b/>
          <w:bCs/>
          <w:i/>
          <w:iCs/>
        </w:rPr>
        <w:t xml:space="preserve"> чи іншого нормативно-правового акта, виданого на підставі цього Кодексу, або коли норми різних законів чи різних нормативно-правових актів, або коли норми одного і того ж нормативно-правового акта супере</w:t>
      </w:r>
      <w:r>
        <w:rPr>
          <w:b/>
          <w:bCs/>
          <w:i/>
          <w:iCs/>
        </w:rPr>
        <w:t xml:space="preserve">чать між собою та припускають неоднозначне (множинне) трактування прав та обов'язків </w:t>
      </w:r>
      <w:r>
        <w:rPr>
          <w:b/>
          <w:bCs/>
          <w:i/>
          <w:iCs/>
        </w:rPr>
        <w:lastRenderedPageBreak/>
        <w:t xml:space="preserve">платників податків або контролюючих органів, внаслідок чого є можливість прийняти рішення на користь як платника податків, так і контролюючого органу, рішення приймається </w:t>
      </w:r>
      <w:r>
        <w:rPr>
          <w:b/>
          <w:bCs/>
          <w:i/>
          <w:iCs/>
        </w:rPr>
        <w:t>на користь платника податків.</w:t>
      </w:r>
    </w:p>
    <w:p w:rsidR="00000000" w:rsidRDefault="000E44F0">
      <w:pPr>
        <w:pStyle w:val="a3"/>
        <w:jc w:val="both"/>
      </w:pPr>
      <w:r>
        <w:t xml:space="preserve">Крім того, </w:t>
      </w:r>
      <w:r>
        <w:rPr>
          <w:color w:val="0000FF"/>
        </w:rPr>
        <w:t>статтею 52 Кодексу</w:t>
      </w:r>
      <w:r>
        <w:t xml:space="preserve"> передбачено, що за зверненням платників податків контролюючі органи надають безоплатно консультації з питань практичного використання окремих норм податкового законодавства протягом 30 календарних</w:t>
      </w:r>
      <w:r>
        <w:t xml:space="preserve"> днів, що настають за днем отримання такого звернення даним контролюючим органом.</w:t>
      </w:r>
    </w:p>
    <w:p w:rsidR="00000000" w:rsidRDefault="000E44F0">
      <w:pPr>
        <w:pStyle w:val="a3"/>
        <w:jc w:val="both"/>
      </w:pPr>
      <w:r>
        <w:t>Контролюючі органи мають право надавати консультації виключно з тих питань, що належать до їх повноважень.</w:t>
      </w:r>
    </w:p>
    <w:p w:rsidR="00000000" w:rsidRDefault="000E44F0">
      <w:pPr>
        <w:pStyle w:val="a3"/>
        <w:jc w:val="both"/>
      </w:pPr>
      <w:r>
        <w:t>Також інформуємо, що згідно з п. 1 Положення про Державну фіскальну</w:t>
      </w:r>
      <w:r>
        <w:t xml:space="preserve"> службу України, затвердженого </w:t>
      </w:r>
      <w:r>
        <w:rPr>
          <w:color w:val="0000FF"/>
        </w:rPr>
        <w:t>постановою Кабінету Міністрів України від 21.05.2014 р. N 236</w:t>
      </w:r>
      <w:r>
        <w:t xml:space="preserve">, Державна фіскальна служба України (далі - ДФС) є центральним органом виконавчої влади, діяльність якого спрямовується і координується Кабінетом Міністрів України </w:t>
      </w:r>
      <w:r>
        <w:t>і який реалізує, зокрема, державну податкову політику.</w:t>
      </w:r>
    </w:p>
    <w:p w:rsidR="00000000" w:rsidRDefault="000E44F0">
      <w:pPr>
        <w:pStyle w:val="a3"/>
        <w:jc w:val="both"/>
      </w:pPr>
      <w:r>
        <w:t xml:space="preserve">Згідно з </w:t>
      </w:r>
      <w:r>
        <w:rPr>
          <w:color w:val="0000FF"/>
        </w:rPr>
        <w:t>пп. 76 п. 4 вказаного Положення</w:t>
      </w:r>
      <w:r>
        <w:t xml:space="preserve"> ДФС відповідно до покладених на неї завдань здійснює розгляд звернень громадян та юридичних осіб з питань, пов'язаних з діяльністю ДФС.</w:t>
      </w:r>
    </w:p>
    <w:p w:rsidR="00000000" w:rsidRDefault="000E44F0">
      <w:pPr>
        <w:pStyle w:val="a3"/>
        <w:jc w:val="both"/>
      </w:pPr>
      <w:r>
        <w:t>Разом з тим повідомляємо</w:t>
      </w:r>
      <w:r>
        <w:t xml:space="preserve">, що згідно з частиною другою </w:t>
      </w:r>
      <w:r>
        <w:rPr>
          <w:color w:val="0000FF"/>
        </w:rPr>
        <w:t>ст. 147 Конституції України</w:t>
      </w:r>
      <w:r>
        <w:t xml:space="preserve"> Конституційний Суд України вирішує питання про відповідність законів та інших правових актів Конституції України і дає офіційне тлумачення Конституції України та законів України.</w:t>
      </w:r>
    </w:p>
    <w:p w:rsidR="00000000" w:rsidRDefault="000E44F0">
      <w:pPr>
        <w:pStyle w:val="a3"/>
        <w:jc w:val="both"/>
      </w:pPr>
      <w:r>
        <w:t>Крім того, зазначає</w:t>
      </w:r>
      <w:r>
        <w:t>мо, що листи міністерств, інших центральних органів виконавчої влади, не є нормативно-правовими актами, вони лише мають інформаційний характер і не встановлюють правових норм.</w:t>
      </w:r>
    </w:p>
    <w:p w:rsidR="00000000" w:rsidRDefault="000E44F0">
      <w:pPr>
        <w:pStyle w:val="a3"/>
        <w:jc w:val="both"/>
      </w:pPr>
      <w:r>
        <w:t> 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751"/>
        <w:gridCol w:w="4752"/>
      </w:tblGrid>
      <w:tr w:rsidR="00000000">
        <w:trPr>
          <w:tblCellSpacing w:w="22" w:type="dxa"/>
        </w:trPr>
        <w:tc>
          <w:tcPr>
            <w:tcW w:w="2500" w:type="pct"/>
            <w:vAlign w:val="bottom"/>
            <w:hideMark/>
          </w:tcPr>
          <w:p w:rsidR="00000000" w:rsidRDefault="000E44F0">
            <w:pPr>
              <w:pStyle w:val="a3"/>
              <w:jc w:val="center"/>
            </w:pPr>
            <w:r>
              <w:rPr>
                <w:b/>
                <w:bCs/>
              </w:rPr>
              <w:t>Заступник Міністра -</w:t>
            </w:r>
            <w:r>
              <w:br/>
            </w:r>
            <w:r>
              <w:rPr>
                <w:b/>
                <w:bCs/>
              </w:rPr>
              <w:t>керівник апарату</w:t>
            </w:r>
          </w:p>
        </w:tc>
        <w:tc>
          <w:tcPr>
            <w:tcW w:w="2500" w:type="pct"/>
            <w:vAlign w:val="bottom"/>
            <w:hideMark/>
          </w:tcPr>
          <w:p w:rsidR="00000000" w:rsidRDefault="000E44F0">
            <w:pPr>
              <w:pStyle w:val="a3"/>
              <w:jc w:val="center"/>
            </w:pPr>
            <w:r>
              <w:rPr>
                <w:b/>
                <w:bCs/>
              </w:rPr>
              <w:t>І. Алексєєв</w:t>
            </w:r>
          </w:p>
        </w:tc>
      </w:tr>
    </w:tbl>
    <w:p w:rsidR="00000000" w:rsidRDefault="000E44F0">
      <w:pPr>
        <w:pStyle w:val="a3"/>
        <w:jc w:val="both"/>
      </w:pPr>
      <w:r>
        <w:br w:type="textWrapping" w:clear="all"/>
      </w:r>
    </w:p>
    <w:p w:rsidR="00000000" w:rsidRDefault="000E44F0">
      <w:pPr>
        <w:pStyle w:val="a3"/>
        <w:jc w:val="both"/>
      </w:pPr>
      <w: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30"/>
        <w:gridCol w:w="121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0E44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"Information-analytical center "LIGA" Ltd, 2015</w:t>
            </w:r>
            <w:r>
              <w:rPr>
                <w:rFonts w:eastAsia="Times New Roman"/>
              </w:rPr>
              <w:br/>
              <w:t>© "LIGA ZAKON" Ltd,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0E44F0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19050" t="0" r="9525" b="0"/>
                  <wp:docPr id="2" name="Рисунок 2" descr="d:\profiles\s.moskvin\Application Data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profiles\s.moskvin\Application Data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44F0" w:rsidRDefault="000E44F0">
      <w:pPr>
        <w:rPr>
          <w:rFonts w:eastAsia="Times New Roman"/>
        </w:rPr>
      </w:pPr>
    </w:p>
    <w:sectPr w:rsidR="000E4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compat/>
  <w:rsids>
    <w:rsidRoot w:val="00B23A0F"/>
    <w:rsid w:val="000E44F0"/>
    <w:rsid w:val="00960D2E"/>
    <w:rsid w:val="00B2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60D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0D2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profiles\s.moskvin\Application%20Data\Liga70\Client\Session\LOGOTYPE.BMP" TargetMode="External"/><Relationship Id="rId4" Type="http://schemas.openxmlformats.org/officeDocument/2006/relationships/image" Target="file:///d:\profiles\s.moskvin\Application%20Data\Liga70\Client\Session\TSIGN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3278</Characters>
  <Application>Microsoft Office Word</Application>
  <DocSecurity>0</DocSecurity>
  <Lines>27</Lines>
  <Paragraphs>7</Paragraphs>
  <ScaleCrop>false</ScaleCrop>
  <Company>Grizli777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s.moskvin</dc:creator>
  <cp:lastModifiedBy>s.moskvin</cp:lastModifiedBy>
  <cp:revision>2</cp:revision>
  <dcterms:created xsi:type="dcterms:W3CDTF">2015-01-21T11:29:00Z</dcterms:created>
  <dcterms:modified xsi:type="dcterms:W3CDTF">2015-01-21T11:29:00Z</dcterms:modified>
</cp:coreProperties>
</file>